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BF" w:rsidRDefault="006B21BF" w:rsidP="006B21BF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6B21BF" w:rsidRDefault="006B21BF" w:rsidP="006B21BF">
      <w:pPr>
        <w:spacing w:line="560" w:lineRule="exact"/>
        <w:ind w:left="1" w:firstLine="2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中小学生研学实践教育基地、营地</w:t>
      </w:r>
    </w:p>
    <w:p w:rsidR="006B21BF" w:rsidRDefault="006B21BF" w:rsidP="006B21BF">
      <w:pPr>
        <w:spacing w:line="560" w:lineRule="exact"/>
        <w:ind w:left="1" w:firstLine="2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推荐名额分配表</w:t>
      </w:r>
    </w:p>
    <w:tbl>
      <w:tblPr>
        <w:tblW w:w="9561" w:type="dxa"/>
        <w:jc w:val="center"/>
        <w:tblInd w:w="-872" w:type="dxa"/>
        <w:tblLayout w:type="fixed"/>
        <w:tblLook w:val="04A0"/>
      </w:tblPr>
      <w:tblGrid>
        <w:gridCol w:w="814"/>
        <w:gridCol w:w="1609"/>
        <w:gridCol w:w="1622"/>
        <w:gridCol w:w="1680"/>
        <w:gridCol w:w="1873"/>
        <w:gridCol w:w="1963"/>
      </w:tblGrid>
      <w:tr w:rsidR="006B21BF" w:rsidTr="00CD45B3">
        <w:trPr>
          <w:trHeight w:val="66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spacing w:val="-6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/>
                <w:spacing w:val="-6"/>
                <w:kern w:val="0"/>
                <w:sz w:val="28"/>
                <w:szCs w:val="28"/>
              </w:rPr>
              <w:t>序号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spacing w:val="-6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/>
                <w:spacing w:val="-6"/>
                <w:kern w:val="0"/>
                <w:sz w:val="28"/>
                <w:szCs w:val="28"/>
              </w:rPr>
              <w:t>区域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spacing w:val="-6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pacing w:val="-6"/>
                <w:kern w:val="0"/>
                <w:sz w:val="28"/>
                <w:szCs w:val="28"/>
              </w:rPr>
              <w:t>市级</w:t>
            </w:r>
            <w:r>
              <w:rPr>
                <w:rFonts w:ascii="Times New Roman" w:eastAsia="黑体" w:hAnsi="Times New Roman" w:cs="黑体"/>
                <w:spacing w:val="-6"/>
                <w:kern w:val="0"/>
                <w:sz w:val="28"/>
                <w:szCs w:val="28"/>
              </w:rPr>
              <w:t>基地推荐名额（个）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spacing w:val="-6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pacing w:val="-6"/>
                <w:kern w:val="0"/>
                <w:sz w:val="28"/>
                <w:szCs w:val="28"/>
              </w:rPr>
              <w:t>市级</w:t>
            </w:r>
            <w:r>
              <w:rPr>
                <w:rFonts w:ascii="Times New Roman" w:eastAsia="黑体" w:hAnsi="Times New Roman" w:cs="黑体"/>
                <w:spacing w:val="-6"/>
                <w:kern w:val="0"/>
                <w:sz w:val="28"/>
                <w:szCs w:val="28"/>
              </w:rPr>
              <w:t>营地推荐名额（个）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 w:cs="黑体"/>
                <w:spacing w:val="-6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pacing w:val="-6"/>
                <w:kern w:val="0"/>
                <w:sz w:val="28"/>
                <w:szCs w:val="28"/>
              </w:rPr>
              <w:t>择优推荐省级</w:t>
            </w:r>
            <w:r>
              <w:rPr>
                <w:rFonts w:ascii="Times New Roman" w:eastAsia="黑体" w:hAnsi="Times New Roman" w:cs="黑体"/>
                <w:spacing w:val="-6"/>
                <w:kern w:val="0"/>
                <w:sz w:val="28"/>
                <w:szCs w:val="28"/>
              </w:rPr>
              <w:t>基地名额（个）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 w:cs="黑体"/>
                <w:spacing w:val="-6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pacing w:val="-6"/>
                <w:kern w:val="0"/>
                <w:sz w:val="28"/>
                <w:szCs w:val="28"/>
              </w:rPr>
              <w:t>择优推荐省级</w:t>
            </w:r>
            <w:r>
              <w:rPr>
                <w:rFonts w:ascii="Times New Roman" w:eastAsia="黑体" w:hAnsi="Times New Roman" w:cs="黑体"/>
                <w:spacing w:val="-6"/>
                <w:kern w:val="0"/>
                <w:sz w:val="28"/>
                <w:szCs w:val="28"/>
              </w:rPr>
              <w:t>营地名额（个）</w:t>
            </w:r>
          </w:p>
        </w:tc>
      </w:tr>
      <w:tr w:rsidR="006B21BF" w:rsidTr="00CD45B3">
        <w:trPr>
          <w:trHeight w:val="47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sz w:val="28"/>
                <w:szCs w:val="28"/>
              </w:rPr>
              <w:t>海曙区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</w:t>
            </w:r>
          </w:p>
        </w:tc>
      </w:tr>
      <w:tr w:rsidR="006B21BF" w:rsidTr="00CD45B3">
        <w:trPr>
          <w:trHeight w:val="47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sz w:val="28"/>
                <w:szCs w:val="28"/>
              </w:rPr>
              <w:t>江北区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</w:t>
            </w:r>
          </w:p>
        </w:tc>
      </w:tr>
      <w:tr w:rsidR="006B21BF" w:rsidTr="00CD45B3">
        <w:trPr>
          <w:trHeight w:val="45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sz w:val="28"/>
                <w:szCs w:val="28"/>
              </w:rPr>
              <w:t>镇海区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</w:t>
            </w:r>
          </w:p>
        </w:tc>
      </w:tr>
      <w:tr w:rsidR="006B21BF" w:rsidTr="00CD45B3">
        <w:trPr>
          <w:trHeight w:val="51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sz w:val="28"/>
                <w:szCs w:val="28"/>
              </w:rPr>
              <w:t>北仑区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</w:t>
            </w:r>
          </w:p>
        </w:tc>
      </w:tr>
      <w:tr w:rsidR="006B21BF" w:rsidTr="00CD45B3">
        <w:trPr>
          <w:trHeight w:val="50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sz w:val="28"/>
                <w:szCs w:val="28"/>
              </w:rPr>
              <w:t>鄞州区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</w:t>
            </w:r>
          </w:p>
        </w:tc>
      </w:tr>
      <w:tr w:rsidR="006B21BF" w:rsidTr="00CD45B3">
        <w:trPr>
          <w:trHeight w:val="50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sz w:val="28"/>
                <w:szCs w:val="28"/>
              </w:rPr>
              <w:t>奉化区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</w:t>
            </w:r>
          </w:p>
        </w:tc>
      </w:tr>
      <w:tr w:rsidR="006B21BF" w:rsidTr="00CD45B3">
        <w:trPr>
          <w:trHeight w:val="45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sz w:val="28"/>
                <w:szCs w:val="28"/>
              </w:rPr>
              <w:t>慈溪市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</w:t>
            </w:r>
          </w:p>
        </w:tc>
      </w:tr>
      <w:tr w:rsidR="006B21BF" w:rsidTr="00CD45B3">
        <w:trPr>
          <w:trHeight w:val="47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8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sz w:val="28"/>
                <w:szCs w:val="28"/>
              </w:rPr>
              <w:t>余姚市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</w:t>
            </w:r>
          </w:p>
        </w:tc>
      </w:tr>
      <w:tr w:rsidR="006B21BF" w:rsidTr="00CD45B3">
        <w:trPr>
          <w:trHeight w:val="47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9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sz w:val="28"/>
                <w:szCs w:val="28"/>
              </w:rPr>
              <w:t>宁海县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</w:t>
            </w:r>
          </w:p>
        </w:tc>
      </w:tr>
      <w:tr w:rsidR="006B21BF" w:rsidTr="00CD45B3">
        <w:trPr>
          <w:trHeight w:val="48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sz w:val="28"/>
                <w:szCs w:val="28"/>
              </w:rPr>
              <w:t>象山县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</w:t>
            </w:r>
          </w:p>
        </w:tc>
      </w:tr>
      <w:tr w:rsidR="006B21BF" w:rsidTr="00CD45B3">
        <w:trPr>
          <w:trHeight w:val="54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sz w:val="28"/>
                <w:szCs w:val="28"/>
              </w:rPr>
              <w:t>大榭开发区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</w:t>
            </w:r>
          </w:p>
        </w:tc>
      </w:tr>
      <w:tr w:rsidR="006B21BF" w:rsidTr="00CD45B3">
        <w:trPr>
          <w:trHeight w:val="50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sz w:val="28"/>
                <w:szCs w:val="28"/>
              </w:rPr>
              <w:t>东钱湖</w:t>
            </w:r>
          </w:p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sz w:val="28"/>
                <w:szCs w:val="28"/>
              </w:rPr>
              <w:t>旅游度假区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</w:t>
            </w:r>
          </w:p>
        </w:tc>
      </w:tr>
      <w:tr w:rsidR="006B21BF" w:rsidTr="00CD45B3">
        <w:trPr>
          <w:trHeight w:val="50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13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sz w:val="28"/>
                <w:szCs w:val="28"/>
              </w:rPr>
              <w:t>国家高新区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</w:t>
            </w:r>
          </w:p>
        </w:tc>
      </w:tr>
      <w:tr w:rsidR="006B21BF" w:rsidTr="00CD45B3">
        <w:trPr>
          <w:trHeight w:val="47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14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b/>
                <w:bCs/>
                <w:spacing w:val="-6"/>
                <w:sz w:val="28"/>
                <w:szCs w:val="28"/>
                <w:u w:val="single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sz w:val="28"/>
                <w:szCs w:val="28"/>
              </w:rPr>
              <w:t>杭州湾新区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</w:t>
            </w:r>
          </w:p>
        </w:tc>
      </w:tr>
      <w:tr w:rsidR="006B21BF" w:rsidTr="00CD45B3">
        <w:trPr>
          <w:trHeight w:val="530"/>
          <w:jc w:val="center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合计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14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BF" w:rsidRDefault="006B21BF" w:rsidP="00CD45B3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楷体_GB2312" w:cs="楷体_GB2312"/>
                <w:spacing w:val="-6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6"/>
                <w:kern w:val="0"/>
                <w:sz w:val="28"/>
                <w:szCs w:val="28"/>
              </w:rPr>
              <w:t>14</w:t>
            </w:r>
          </w:p>
        </w:tc>
      </w:tr>
    </w:tbl>
    <w:p w:rsidR="006B21BF" w:rsidRDefault="006B21BF" w:rsidP="006B21BF">
      <w:pPr>
        <w:spacing w:line="360" w:lineRule="exact"/>
        <w:rPr>
          <w:rFonts w:ascii="楷体" w:eastAsia="楷体" w:hAnsi="楷体"/>
          <w:spacing w:val="-6"/>
          <w:sz w:val="28"/>
          <w:szCs w:val="28"/>
        </w:rPr>
      </w:pPr>
      <w:r>
        <w:rPr>
          <w:rFonts w:ascii="楷体" w:eastAsia="楷体" w:hAnsi="楷体" w:hint="eastAsia"/>
          <w:spacing w:val="-6"/>
          <w:sz w:val="28"/>
          <w:szCs w:val="28"/>
        </w:rPr>
        <w:t>注：1.市级相关部门可以视情择优推荐市级、省级基地。</w:t>
      </w:r>
    </w:p>
    <w:p w:rsidR="006B21BF" w:rsidRDefault="006B21BF" w:rsidP="006B21BF">
      <w:pPr>
        <w:spacing w:line="360" w:lineRule="exact"/>
        <w:rPr>
          <w:rFonts w:ascii="楷体" w:eastAsia="楷体" w:hAnsi="楷体"/>
          <w:spacing w:val="-6"/>
          <w:sz w:val="28"/>
          <w:szCs w:val="28"/>
        </w:rPr>
      </w:pPr>
      <w:r>
        <w:rPr>
          <w:rFonts w:ascii="楷体" w:eastAsia="楷体" w:hAnsi="楷体" w:hint="eastAsia"/>
          <w:spacing w:val="-6"/>
          <w:sz w:val="28"/>
          <w:szCs w:val="28"/>
        </w:rPr>
        <w:t xml:space="preserve">    2.同时申报省级、市级研学基地（营地）的单位，可以按照省、市研学基地、营地申报认定和管理细则，一并申报。</w:t>
      </w:r>
    </w:p>
    <w:p w:rsidR="006B21BF" w:rsidRDefault="006B21BF" w:rsidP="006B21BF">
      <w:pPr>
        <w:spacing w:line="360" w:lineRule="exact"/>
        <w:rPr>
          <w:rFonts w:ascii="楷体" w:eastAsia="楷体" w:hAnsi="楷体"/>
          <w:spacing w:val="-6"/>
          <w:sz w:val="28"/>
          <w:szCs w:val="28"/>
        </w:rPr>
      </w:pPr>
      <w:r>
        <w:rPr>
          <w:rFonts w:ascii="楷体" w:eastAsia="楷体" w:hAnsi="楷体" w:hint="eastAsia"/>
          <w:spacing w:val="-6"/>
          <w:sz w:val="28"/>
          <w:szCs w:val="28"/>
        </w:rPr>
        <w:t xml:space="preserve">    3.依申报单位申报情况，区县（市）教育局、文广旅游局和市级相关部门同步完成申报单位的省级、市级研学基地（营地）的初审推荐工作。</w:t>
      </w:r>
    </w:p>
    <w:p w:rsidR="006B21BF" w:rsidRDefault="006B21BF" w:rsidP="006B21BF">
      <w:pPr>
        <w:spacing w:line="360" w:lineRule="exact"/>
        <w:rPr>
          <w:rFonts w:ascii="楷体" w:eastAsia="楷体" w:hAnsi="楷体"/>
          <w:spacing w:val="-6"/>
          <w:sz w:val="28"/>
          <w:szCs w:val="28"/>
        </w:rPr>
      </w:pPr>
      <w:r>
        <w:rPr>
          <w:rFonts w:ascii="楷体" w:eastAsia="楷体" w:hAnsi="楷体" w:hint="eastAsia"/>
          <w:spacing w:val="-6"/>
          <w:sz w:val="28"/>
          <w:szCs w:val="28"/>
        </w:rPr>
        <w:t xml:space="preserve">    4.市教育局、市文广旅游局在认定市级研学基地（营地）后，在分配的省级基地、营地推荐名额内，共同会审确定推荐名单及排序，择优推荐一批市级研学基地（营地）申报省级研学基地（营地）。</w:t>
      </w:r>
    </w:p>
    <w:p w:rsidR="000B4892" w:rsidRPr="006B21BF" w:rsidRDefault="000B4892"/>
    <w:sectPr w:rsidR="000B4892" w:rsidRPr="006B21BF" w:rsidSect="000B4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21BF"/>
    <w:rsid w:val="000B4892"/>
    <w:rsid w:val="003B72FA"/>
    <w:rsid w:val="006B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2019-10-08T02:19:00Z</dcterms:created>
  <dcterms:modified xsi:type="dcterms:W3CDTF">2019-10-08T02:19:00Z</dcterms:modified>
</cp:coreProperties>
</file>